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C41AAD">
        <w:tc>
          <w:tcPr>
            <w:tcW w:w="7938" w:type="dxa"/>
            <w:shd w:val="clear" w:color="auto" w:fill="auto"/>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shd w:val="clear" w:color="auto" w:fill="auto"/>
            <w:vAlign w:val="center"/>
          </w:tcPr>
          <w:p w14:paraId="4F8099E0" w14:textId="77777777" w:rsidR="00C41AAD" w:rsidRDefault="00BE71F3" w:rsidP="00760F5B">
            <w:pPr>
              <w:jc w:val="center"/>
              <w:rPr>
                <w:rFonts w:asciiTheme="majorHAnsi" w:hAnsiTheme="majorHAnsi"/>
                <w:b/>
                <w:color w:val="FF0000"/>
                <w:sz w:val="28"/>
                <w:szCs w:val="28"/>
              </w:rPr>
            </w:pPr>
            <w:r w:rsidRPr="00E6132A">
              <w:rPr>
                <w:rFonts w:asciiTheme="majorHAnsi" w:hAnsiTheme="majorHAnsi"/>
                <w:b/>
                <w:color w:val="FF0000"/>
                <w:sz w:val="28"/>
                <w:szCs w:val="28"/>
              </w:rPr>
              <w:t>AS91009</w:t>
            </w:r>
            <w:r w:rsidR="00FB2B23" w:rsidRPr="00E6132A">
              <w:rPr>
                <w:rFonts w:asciiTheme="majorHAnsi" w:hAnsiTheme="majorHAnsi"/>
                <w:b/>
                <w:color w:val="FF0000"/>
                <w:sz w:val="28"/>
                <w:szCs w:val="28"/>
              </w:rPr>
              <w:t xml:space="preserve"> </w:t>
            </w:r>
            <w:r w:rsidR="00F507A4">
              <w:rPr>
                <w:rFonts w:asciiTheme="majorHAnsi" w:hAnsiTheme="majorHAnsi"/>
                <w:b/>
                <w:color w:val="FF0000"/>
                <w:sz w:val="28"/>
                <w:szCs w:val="28"/>
              </w:rPr>
              <w:t xml:space="preserve">(1.3) </w:t>
            </w:r>
            <w:r w:rsidRPr="00E6132A">
              <w:rPr>
                <w:rFonts w:asciiTheme="majorHAnsi" w:hAnsiTheme="majorHAnsi"/>
                <w:b/>
                <w:color w:val="FF0000"/>
                <w:sz w:val="28"/>
                <w:szCs w:val="28"/>
              </w:rPr>
              <w:t xml:space="preserve">Demonstrate geographic understanding of the sustainable </w:t>
            </w:r>
            <w:r w:rsidR="00C41AAD">
              <w:rPr>
                <w:rFonts w:asciiTheme="majorHAnsi" w:hAnsiTheme="majorHAnsi"/>
                <w:b/>
                <w:color w:val="FF0000"/>
                <w:sz w:val="28"/>
                <w:szCs w:val="28"/>
              </w:rPr>
              <w:t xml:space="preserve">  </w:t>
            </w:r>
          </w:p>
          <w:p w14:paraId="3D75A0FE" w14:textId="2F620735" w:rsidR="00FB2B23" w:rsidRPr="00011E83" w:rsidRDefault="00C41AAD" w:rsidP="00C41AAD">
            <w:pPr>
              <w:rPr>
                <w:rFonts w:asciiTheme="majorHAnsi" w:hAnsiTheme="majorHAnsi"/>
                <w:color w:val="C0504D" w:themeColor="accent2"/>
                <w:sz w:val="20"/>
                <w:szCs w:val="20"/>
              </w:rPr>
            </w:pPr>
            <w:r>
              <w:rPr>
                <w:rFonts w:asciiTheme="majorHAnsi" w:hAnsiTheme="majorHAnsi"/>
                <w:b/>
                <w:color w:val="FF0000"/>
                <w:sz w:val="28"/>
                <w:szCs w:val="28"/>
              </w:rPr>
              <w:t xml:space="preserve"> </w:t>
            </w:r>
            <w:r>
              <w:rPr>
                <w:rFonts w:asciiTheme="majorHAnsi" w:hAnsiTheme="majorHAnsi"/>
                <w:color w:val="800000"/>
                <w:sz w:val="20"/>
                <w:szCs w:val="20"/>
              </w:rPr>
              <w:t>(</w:t>
            </w:r>
            <w:proofErr w:type="gramStart"/>
            <w:r>
              <w:rPr>
                <w:rFonts w:asciiTheme="majorHAnsi" w:hAnsiTheme="majorHAnsi"/>
                <w:color w:val="C0504D" w:themeColor="accent2"/>
                <w:sz w:val="20"/>
                <w:szCs w:val="20"/>
              </w:rPr>
              <w:t>as</w:t>
            </w:r>
            <w:proofErr w:type="gramEnd"/>
            <w:r>
              <w:rPr>
                <w:rFonts w:asciiTheme="majorHAnsi" w:hAnsiTheme="majorHAnsi"/>
                <w:color w:val="C0504D" w:themeColor="accent2"/>
                <w:sz w:val="20"/>
                <w:szCs w:val="20"/>
              </w:rPr>
              <w:t xml:space="preserve"> at Nov 2016)</w:t>
            </w:r>
            <w:r>
              <w:rPr>
                <w:rFonts w:asciiTheme="majorHAnsi" w:hAnsiTheme="majorHAnsi"/>
                <w:b/>
                <w:color w:val="FF0000"/>
                <w:sz w:val="28"/>
                <w:szCs w:val="28"/>
              </w:rPr>
              <w:t xml:space="preserve">              </w:t>
            </w:r>
            <w:r w:rsidR="00BE71F3" w:rsidRPr="00E6132A">
              <w:rPr>
                <w:rFonts w:asciiTheme="majorHAnsi" w:hAnsiTheme="majorHAnsi"/>
                <w:b/>
                <w:color w:val="FF0000"/>
                <w:sz w:val="28"/>
                <w:szCs w:val="28"/>
              </w:rPr>
              <w:t>use of an environment</w:t>
            </w:r>
            <w:r w:rsidR="0007183B" w:rsidRPr="00E6132A">
              <w:rPr>
                <w:rFonts w:asciiTheme="majorHAnsi" w:hAnsiTheme="majorHAnsi"/>
                <w:b/>
                <w:color w:val="FF0000"/>
                <w:sz w:val="28"/>
                <w:szCs w:val="28"/>
              </w:rPr>
              <w:t xml:space="preserve">        (Version 3)</w:t>
            </w:r>
            <w:r w:rsidR="002C3D42">
              <w:rPr>
                <w:rFonts w:asciiTheme="majorHAnsi" w:hAnsiTheme="majorHAnsi"/>
                <w:b/>
                <w:color w:val="FF0000"/>
                <w:sz w:val="28"/>
                <w:szCs w:val="28"/>
              </w:rPr>
              <w:t xml:space="preserve">              3 credits</w:t>
            </w:r>
            <w:r w:rsidR="00011E83">
              <w:rPr>
                <w:rFonts w:asciiTheme="majorHAnsi" w:hAnsiTheme="majorHAnsi"/>
                <w:b/>
                <w:color w:val="FF0000"/>
                <w:sz w:val="28"/>
                <w:szCs w:val="28"/>
              </w:rPr>
              <w:t xml:space="preserve">     </w:t>
            </w:r>
          </w:p>
        </w:tc>
        <w:tc>
          <w:tcPr>
            <w:tcW w:w="5586" w:type="dxa"/>
            <w:shd w:val="clear" w:color="auto" w:fill="auto"/>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C41AAD">
        <w:trPr>
          <w:trHeight w:val="5696"/>
        </w:trPr>
        <w:tc>
          <w:tcPr>
            <w:tcW w:w="7938" w:type="dxa"/>
            <w:shd w:val="clear" w:color="auto" w:fill="auto"/>
          </w:tcPr>
          <w:p w14:paraId="301234BB" w14:textId="139C046A" w:rsidR="0007183B" w:rsidRPr="00760F5B" w:rsidRDefault="0007183B" w:rsidP="00760F5B">
            <w:pPr>
              <w:rPr>
                <w:rFonts w:asciiTheme="majorHAnsi" w:hAnsiTheme="majorHAnsi"/>
                <w:b/>
              </w:rPr>
            </w:pPr>
            <w:r w:rsidRPr="00760F5B">
              <w:rPr>
                <w:rFonts w:asciiTheme="majorHAnsi" w:hAnsiTheme="majorHAnsi"/>
                <w:b/>
              </w:rPr>
              <w:t>Level Six</w:t>
            </w:r>
            <w:r w:rsidR="00D15CD7">
              <w:rPr>
                <w:rFonts w:asciiTheme="majorHAnsi" w:hAnsiTheme="majorHAnsi"/>
                <w:b/>
              </w:rPr>
              <w:t xml:space="preserve"> Achievement Objective</w:t>
            </w:r>
          </w:p>
          <w:p w14:paraId="059CDE60" w14:textId="77777777" w:rsidR="0007183B" w:rsidRPr="00760F5B" w:rsidRDefault="0007183B" w:rsidP="00760F5B">
            <w:pPr>
              <w:pStyle w:val="ListParagraph"/>
              <w:numPr>
                <w:ilvl w:val="0"/>
                <w:numId w:val="24"/>
              </w:numPr>
              <w:rPr>
                <w:rFonts w:asciiTheme="majorHAnsi" w:hAnsiTheme="majorHAnsi"/>
                <w:b/>
                <w:sz w:val="20"/>
                <w:szCs w:val="20"/>
              </w:rPr>
            </w:pPr>
            <w:r w:rsidRPr="00760F5B">
              <w:rPr>
                <w:rFonts w:asciiTheme="majorHAnsi" w:hAnsiTheme="majorHAnsi"/>
              </w:rPr>
              <w:t>Understand how people interact with the natural and cultural environments and that this interaction has consequences</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7A0C816A" w14:textId="77777777" w:rsidR="00E6132A" w:rsidRDefault="00E6132A" w:rsidP="00E6132A">
            <w:pPr>
              <w:rPr>
                <w:rFonts w:asciiTheme="majorHAnsi" w:hAnsiTheme="majorHAnsi"/>
              </w:rPr>
            </w:pPr>
            <w:r w:rsidRPr="00E6132A">
              <w:rPr>
                <w:rFonts w:asciiTheme="majorHAnsi" w:hAnsiTheme="majorHAnsi"/>
              </w:rPr>
              <w:t>Updated May 2014. This document has been updated in its entirety to address issues that have arisen from moderation in 2013.</w:t>
            </w:r>
          </w:p>
          <w:p w14:paraId="4CCDCB8C" w14:textId="77777777" w:rsidR="00E6132A" w:rsidRPr="00E6132A" w:rsidRDefault="00E6132A" w:rsidP="00E6132A">
            <w:pPr>
              <w:rPr>
                <w:rFonts w:asciiTheme="majorHAnsi" w:hAnsiTheme="majorHAnsi"/>
              </w:rPr>
            </w:pPr>
          </w:p>
          <w:p w14:paraId="0E06A66F" w14:textId="77777777" w:rsidR="00E6132A" w:rsidRPr="00E6132A" w:rsidRDefault="00E6132A" w:rsidP="00E6132A">
            <w:pPr>
              <w:rPr>
                <w:rFonts w:asciiTheme="majorHAnsi" w:hAnsiTheme="majorHAnsi"/>
              </w:rPr>
            </w:pPr>
            <w:r w:rsidRPr="00E6132A">
              <w:rPr>
                <w:rFonts w:asciiTheme="majorHAnsi" w:hAnsiTheme="majorHAnsi"/>
              </w:rPr>
              <w:t>The interaction between</w:t>
            </w:r>
            <w:r>
              <w:rPr>
                <w:rFonts w:asciiTheme="majorHAnsi" w:hAnsiTheme="majorHAnsi"/>
              </w:rPr>
              <w:t xml:space="preserve"> </w:t>
            </w:r>
            <w:r w:rsidRPr="00E6132A">
              <w:rPr>
                <w:rFonts w:asciiTheme="majorHAnsi" w:hAnsiTheme="majorHAnsi"/>
              </w:rPr>
              <w:t xml:space="preserve">people and the environment is the explicit objective of this standard. The term ‘environment’ refers to the region in which the activity occurs. The size of the selected environment needs to be carefully considered. It </w:t>
            </w:r>
            <w:proofErr w:type="gramStart"/>
            <w:r w:rsidRPr="00E6132A">
              <w:rPr>
                <w:rFonts w:asciiTheme="majorHAnsi" w:hAnsiTheme="majorHAnsi"/>
              </w:rPr>
              <w:t>could be determined by the use/s to be studied</w:t>
            </w:r>
            <w:proofErr w:type="gramEnd"/>
            <w:r w:rsidRPr="00E6132A">
              <w:rPr>
                <w:rFonts w:asciiTheme="majorHAnsi" w:hAnsiTheme="majorHAnsi"/>
              </w:rPr>
              <w:t>.</w:t>
            </w:r>
          </w:p>
          <w:p w14:paraId="302BAB5E" w14:textId="77777777" w:rsidR="00E6132A" w:rsidRPr="00E6132A" w:rsidRDefault="00E6132A" w:rsidP="00E6132A">
            <w:pPr>
              <w:tabs>
                <w:tab w:val="left" w:pos="8190"/>
              </w:tabs>
              <w:rPr>
                <w:rFonts w:asciiTheme="majorHAnsi" w:hAnsiTheme="majorHAnsi"/>
              </w:rPr>
            </w:pPr>
            <w:r w:rsidRPr="00E6132A">
              <w:rPr>
                <w:rFonts w:asciiTheme="majorHAnsi" w:hAnsiTheme="majorHAnsi"/>
              </w:rPr>
              <w:t>Examples:</w:t>
            </w:r>
          </w:p>
          <w:p w14:paraId="165A1416" w14:textId="77777777" w:rsidR="00E6132A" w:rsidRPr="00E6132A" w:rsidRDefault="00E6132A" w:rsidP="00E6132A">
            <w:pPr>
              <w:rPr>
                <w:rFonts w:asciiTheme="majorHAnsi" w:hAnsiTheme="majorHAnsi"/>
              </w:rPr>
            </w:pPr>
            <w:proofErr w:type="spellStart"/>
            <w:r w:rsidRPr="00E6132A">
              <w:rPr>
                <w:rFonts w:asciiTheme="majorHAnsi" w:hAnsiTheme="majorHAnsi"/>
              </w:rPr>
              <w:t>Waihi</w:t>
            </w:r>
            <w:proofErr w:type="spellEnd"/>
            <w:r w:rsidRPr="00E6132A">
              <w:rPr>
                <w:rFonts w:asciiTheme="majorHAnsi" w:hAnsiTheme="majorHAnsi"/>
              </w:rPr>
              <w:t xml:space="preserve"> and mining</w:t>
            </w:r>
          </w:p>
          <w:p w14:paraId="18C148CA" w14:textId="77777777" w:rsidR="00E6132A" w:rsidRPr="00E6132A" w:rsidRDefault="00E6132A" w:rsidP="00E6132A">
            <w:pPr>
              <w:rPr>
                <w:rFonts w:asciiTheme="majorHAnsi" w:hAnsiTheme="majorHAnsi"/>
              </w:rPr>
            </w:pPr>
            <w:r w:rsidRPr="00E6132A">
              <w:rPr>
                <w:rFonts w:asciiTheme="majorHAnsi" w:hAnsiTheme="majorHAnsi"/>
              </w:rPr>
              <w:t>Marlborough Sounds and aquaculture and/or tourism</w:t>
            </w:r>
          </w:p>
          <w:p w14:paraId="4A123B15" w14:textId="77777777" w:rsidR="00E6132A" w:rsidRDefault="00E6132A" w:rsidP="00E6132A">
            <w:pPr>
              <w:rPr>
                <w:rFonts w:asciiTheme="majorHAnsi" w:hAnsiTheme="majorHAnsi"/>
              </w:rPr>
            </w:pPr>
            <w:proofErr w:type="spellStart"/>
            <w:r w:rsidRPr="00E6132A">
              <w:rPr>
                <w:rFonts w:asciiTheme="majorHAnsi" w:hAnsiTheme="majorHAnsi"/>
              </w:rPr>
              <w:t>Waitaki</w:t>
            </w:r>
            <w:proofErr w:type="spellEnd"/>
            <w:r w:rsidRPr="00E6132A">
              <w:rPr>
                <w:rFonts w:asciiTheme="majorHAnsi" w:hAnsiTheme="majorHAnsi"/>
              </w:rPr>
              <w:t xml:space="preserve"> Basin and hydroelectric power generation.</w:t>
            </w:r>
          </w:p>
          <w:p w14:paraId="38717C55" w14:textId="77777777" w:rsidR="00E6132A" w:rsidRPr="00E6132A" w:rsidRDefault="00E6132A" w:rsidP="00E6132A">
            <w:pPr>
              <w:rPr>
                <w:rFonts w:asciiTheme="majorHAnsi" w:hAnsiTheme="majorHAnsi"/>
              </w:rPr>
            </w:pPr>
          </w:p>
          <w:p w14:paraId="74BB8B56" w14:textId="77777777" w:rsidR="00E6132A" w:rsidRPr="00E6132A" w:rsidRDefault="00E6132A" w:rsidP="00E6132A">
            <w:pPr>
              <w:rPr>
                <w:rFonts w:asciiTheme="majorHAnsi" w:hAnsiTheme="majorHAnsi"/>
              </w:rPr>
            </w:pPr>
            <w:r w:rsidRPr="00E6132A">
              <w:rPr>
                <w:rFonts w:asciiTheme="majorHAnsi" w:hAnsiTheme="majorHAnsi"/>
              </w:rPr>
              <w:t>How people use the selected environment</w:t>
            </w:r>
          </w:p>
          <w:p w14:paraId="59DD66DD" w14:textId="77777777" w:rsidR="00E6132A" w:rsidRPr="00E6132A" w:rsidRDefault="00E6132A" w:rsidP="00E6132A">
            <w:pPr>
              <w:rPr>
                <w:rFonts w:asciiTheme="majorHAnsi" w:hAnsiTheme="majorHAnsi"/>
              </w:rPr>
            </w:pPr>
            <w:r w:rsidRPr="00E6132A">
              <w:rPr>
                <w:rFonts w:asciiTheme="majorHAnsi" w:hAnsiTheme="majorHAnsi"/>
              </w:rPr>
              <w:t>Evidence must relate to the activities and processes that directly use the environment, such as sowing grass to improve pasture quality or clearing overburden to provide access to the ore. Some processes involved in the activity are unsuitable, e.g. milking, which does not directly use the environment.</w:t>
            </w:r>
          </w:p>
          <w:p w14:paraId="1DC0199C" w14:textId="77777777" w:rsidR="00E6132A" w:rsidRDefault="00E6132A" w:rsidP="00E6132A">
            <w:pPr>
              <w:rPr>
                <w:rFonts w:asciiTheme="majorHAnsi" w:hAnsiTheme="majorHAnsi"/>
              </w:rPr>
            </w:pPr>
            <w:r w:rsidRPr="00E6132A">
              <w:rPr>
                <w:rFonts w:asciiTheme="majorHAnsi" w:hAnsiTheme="majorHAnsi"/>
              </w:rPr>
              <w:t>Some components of the ‘systems model’ are applicable, but this model may mislead students if it is not directly linked to specific requirements of 91009.</w:t>
            </w:r>
          </w:p>
          <w:p w14:paraId="6DA329AB" w14:textId="77777777" w:rsidR="00E6132A" w:rsidRPr="00E6132A" w:rsidRDefault="00E6132A" w:rsidP="00E6132A">
            <w:pPr>
              <w:rPr>
                <w:rFonts w:asciiTheme="majorHAnsi" w:hAnsiTheme="majorHAnsi"/>
              </w:rPr>
            </w:pPr>
          </w:p>
          <w:p w14:paraId="27828793" w14:textId="77777777" w:rsidR="00E6132A" w:rsidRPr="00E6132A" w:rsidRDefault="00E6132A" w:rsidP="00E6132A">
            <w:pPr>
              <w:rPr>
                <w:rFonts w:asciiTheme="majorHAnsi" w:hAnsiTheme="majorHAnsi"/>
              </w:rPr>
            </w:pPr>
            <w:r w:rsidRPr="00E6132A">
              <w:rPr>
                <w:rFonts w:asciiTheme="majorHAnsi" w:hAnsiTheme="majorHAnsi"/>
              </w:rPr>
              <w:t>The consequences of the selected use on people and the environment</w:t>
            </w:r>
          </w:p>
          <w:p w14:paraId="5597CF05" w14:textId="77777777" w:rsidR="00E6132A" w:rsidRDefault="00E6132A" w:rsidP="00E6132A">
            <w:pPr>
              <w:rPr>
                <w:rFonts w:asciiTheme="majorHAnsi" w:hAnsiTheme="majorHAnsi"/>
              </w:rPr>
            </w:pPr>
            <w:r w:rsidRPr="00E6132A">
              <w:rPr>
                <w:rFonts w:asciiTheme="majorHAnsi" w:hAnsiTheme="majorHAnsi"/>
              </w:rPr>
              <w:t>Consequences must relate to people within the selected environment. This includes people directly involved in the ‘use’ and those indirectly affected. The consequences for the environment can discuss the immediate location and the wider area, but must remain within the selected environment.</w:t>
            </w:r>
          </w:p>
          <w:p w14:paraId="3BEDCAA2" w14:textId="77777777" w:rsidR="00E6132A" w:rsidRPr="00E6132A" w:rsidRDefault="00E6132A" w:rsidP="00E6132A">
            <w:pPr>
              <w:rPr>
                <w:rFonts w:asciiTheme="majorHAnsi" w:hAnsiTheme="majorHAnsi"/>
              </w:rPr>
            </w:pPr>
          </w:p>
          <w:p w14:paraId="2C837E32" w14:textId="77777777" w:rsidR="00E6132A" w:rsidRPr="00E6132A" w:rsidRDefault="00E6132A" w:rsidP="00E6132A">
            <w:pPr>
              <w:rPr>
                <w:rFonts w:asciiTheme="majorHAnsi" w:hAnsiTheme="majorHAnsi"/>
              </w:rPr>
            </w:pPr>
            <w:r w:rsidRPr="00E6132A">
              <w:rPr>
                <w:rFonts w:asciiTheme="majorHAnsi" w:hAnsiTheme="majorHAnsi"/>
              </w:rPr>
              <w:t>Sustainability</w:t>
            </w:r>
          </w:p>
          <w:p w14:paraId="4B8D19BB" w14:textId="77777777" w:rsidR="00E6132A" w:rsidRPr="00E6132A" w:rsidRDefault="00E6132A" w:rsidP="00E6132A">
            <w:pPr>
              <w:rPr>
                <w:rFonts w:asciiTheme="majorHAnsi" w:hAnsiTheme="majorHAnsi"/>
              </w:rPr>
            </w:pPr>
            <w:r w:rsidRPr="00E6132A">
              <w:rPr>
                <w:rFonts w:asciiTheme="majorHAnsi" w:hAnsiTheme="majorHAnsi"/>
              </w:rPr>
              <w:t>A critical aspect of this standard is the understanding of the concept of sustainability with a future focus. The depth of the explanation of this aspect strongly influences the quality of student work and their opportunity to reach Merit and Excellence.</w:t>
            </w:r>
          </w:p>
          <w:p w14:paraId="7F210567" w14:textId="77777777" w:rsidR="00E6132A" w:rsidRPr="00E6132A" w:rsidRDefault="00E6132A" w:rsidP="00E6132A">
            <w:pPr>
              <w:rPr>
                <w:rFonts w:asciiTheme="majorHAnsi" w:hAnsiTheme="majorHAnsi"/>
              </w:rPr>
            </w:pPr>
            <w:r w:rsidRPr="00E6132A">
              <w:rPr>
                <w:rFonts w:asciiTheme="majorHAnsi" w:hAnsiTheme="majorHAnsi"/>
              </w:rPr>
              <w:t xml:space="preserve">This aspect may focus on sustainability of the environment with continued use, or the sustainability of the selected use. In some instances these may both be interdependent (e.g. tourism in </w:t>
            </w:r>
            <w:proofErr w:type="spellStart"/>
            <w:r w:rsidRPr="00E6132A">
              <w:rPr>
                <w:rFonts w:asciiTheme="majorHAnsi" w:hAnsiTheme="majorHAnsi"/>
              </w:rPr>
              <w:t>Fiordland</w:t>
            </w:r>
            <w:proofErr w:type="spellEnd"/>
            <w:r w:rsidRPr="00E6132A">
              <w:rPr>
                <w:rFonts w:asciiTheme="majorHAnsi" w:hAnsiTheme="majorHAnsi"/>
              </w:rPr>
              <w:t>). If the use is related to a non-renewable resource such as mining, the use itself is not sustainable, so the focus will be on the sustainability of the environment.</w:t>
            </w:r>
          </w:p>
          <w:p w14:paraId="51E649ED" w14:textId="77777777" w:rsidR="00E6132A" w:rsidRDefault="00E6132A" w:rsidP="00760F5B">
            <w:pPr>
              <w:rPr>
                <w:rFonts w:asciiTheme="majorHAnsi" w:hAnsiTheme="majorHAnsi"/>
                <w:b/>
                <w:sz w:val="20"/>
                <w:szCs w:val="20"/>
              </w:rPr>
            </w:pPr>
          </w:p>
          <w:p w14:paraId="5E599699" w14:textId="77777777" w:rsidR="003A485B" w:rsidRPr="003A485B" w:rsidRDefault="003A485B" w:rsidP="00C41AAD">
            <w:pPr>
              <w:spacing w:before="60" w:line="300" w:lineRule="atLeast"/>
              <w:textAlignment w:val="baseline"/>
              <w:outlineLvl w:val="1"/>
              <w:rPr>
                <w:rFonts w:ascii="Arial" w:eastAsia="Times New Roman" w:hAnsi="Arial" w:cs="Arial"/>
                <w:color w:val="7C2128"/>
                <w:sz w:val="27"/>
                <w:szCs w:val="27"/>
                <w:lang w:val="en-NZ"/>
              </w:rPr>
            </w:pPr>
            <w:r w:rsidRPr="003A485B">
              <w:rPr>
                <w:rFonts w:ascii="Arial" w:eastAsia="Times New Roman" w:hAnsi="Arial" w:cs="Arial"/>
                <w:color w:val="7C2128"/>
                <w:sz w:val="27"/>
                <w:szCs w:val="27"/>
                <w:lang w:val="en-NZ"/>
              </w:rPr>
              <w:t>A TKI Geography assessment resource with a sports context</w:t>
            </w:r>
          </w:p>
          <w:p w14:paraId="2DF34BB7" w14:textId="151349D8" w:rsidR="003A485B" w:rsidRPr="003A485B" w:rsidRDefault="003A485B" w:rsidP="00C41AAD">
            <w:pPr>
              <w:numPr>
                <w:ilvl w:val="0"/>
                <w:numId w:val="1"/>
              </w:numPr>
              <w:tabs>
                <w:tab w:val="clear" w:pos="568"/>
              </w:tabs>
              <w:spacing w:line="285" w:lineRule="atLeast"/>
              <w:ind w:left="0" w:firstLine="0"/>
              <w:textAlignment w:val="baseline"/>
              <w:rPr>
                <w:rFonts w:ascii="Verdana" w:hAnsi="Verdana" w:cs="Times New Roman"/>
                <w:color w:val="333333"/>
                <w:sz w:val="20"/>
                <w:szCs w:val="20"/>
                <w:lang w:val="en-NZ"/>
              </w:rPr>
            </w:pPr>
            <w:r w:rsidRPr="003A485B">
              <w:rPr>
                <w:rFonts w:ascii="Verdana" w:hAnsi="Verdana" w:cs="Times New Roman"/>
                <w:color w:val="333333"/>
                <w:sz w:val="20"/>
                <w:szCs w:val="20"/>
                <w:lang w:val="en-NZ"/>
              </w:rPr>
              <w:t>An additional Geography resource with a sports context is available on the TKI website. This resource supports the assessment of 91</w:t>
            </w:r>
            <w:r w:rsidR="00C57343">
              <w:rPr>
                <w:rFonts w:ascii="Verdana" w:hAnsi="Verdana" w:cs="Times New Roman"/>
                <w:color w:val="333333"/>
                <w:sz w:val="20"/>
                <w:szCs w:val="20"/>
                <w:lang w:val="en-NZ"/>
              </w:rPr>
              <w:t>009 (1.3C) using a golf context</w:t>
            </w:r>
          </w:p>
          <w:p w14:paraId="09C718B2" w14:textId="65BDC12D" w:rsidR="003A485B" w:rsidRPr="00C57343" w:rsidRDefault="003A485B" w:rsidP="00C57343">
            <w:pPr>
              <w:shd w:val="clear" w:color="auto" w:fill="F2F2F2"/>
              <w:spacing w:line="285" w:lineRule="atLeast"/>
              <w:textAlignment w:val="baseline"/>
              <w:rPr>
                <w:rFonts w:asciiTheme="majorHAnsi" w:hAnsiTheme="majorHAnsi"/>
                <w:b/>
                <w:sz w:val="20"/>
                <w:szCs w:val="20"/>
              </w:rPr>
            </w:pPr>
          </w:p>
        </w:tc>
        <w:tc>
          <w:tcPr>
            <w:tcW w:w="8910" w:type="dxa"/>
            <w:shd w:val="clear" w:color="auto" w:fill="auto"/>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C41AAD">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C41AAD">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C41AAD">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7179A817" w:rsidR="0007183B" w:rsidRPr="00760F5B" w:rsidRDefault="0007183B" w:rsidP="00C41AAD">
                  <w:pPr>
                    <w:framePr w:hSpace="180" w:wrap="around" w:vAnchor="text" w:hAnchor="text" w:y="1"/>
                    <w:numPr>
                      <w:ilvl w:val="0"/>
                      <w:numId w:val="18"/>
                    </w:numPr>
                    <w:spacing w:before="60" w:after="60"/>
                    <w:suppressOverlap/>
                    <w:rPr>
                      <w:rFonts w:asciiTheme="majorHAnsi" w:hAnsiTheme="majorHAnsi"/>
                      <w:sz w:val="20"/>
                      <w:szCs w:val="20"/>
                      <w:lang w:val="en-GB"/>
                    </w:rPr>
                  </w:pPr>
                  <w:r w:rsidRPr="00760F5B">
                    <w:rPr>
                      <w:rFonts w:asciiTheme="majorHAnsi" w:hAnsiTheme="majorHAnsi"/>
                      <w:sz w:val="20"/>
                      <w:szCs w:val="20"/>
                      <w:lang w:val="en-GB"/>
                    </w:rPr>
                    <w:t>Demonstrate geographic understanding of the sustainable use of an environment</w:t>
                  </w:r>
                </w:p>
              </w:tc>
              <w:tc>
                <w:tcPr>
                  <w:tcW w:w="1667" w:type="pct"/>
                </w:tcPr>
                <w:p w14:paraId="073FBE66" w14:textId="1BE46973" w:rsidR="0007183B" w:rsidRPr="00760F5B" w:rsidRDefault="0007183B" w:rsidP="00C41AAD">
                  <w:pPr>
                    <w:framePr w:hSpace="180" w:wrap="around" w:vAnchor="text" w:hAnchor="text" w:y="1"/>
                    <w:numPr>
                      <w:ilvl w:val="0"/>
                      <w:numId w:val="18"/>
                    </w:numPr>
                    <w:spacing w:before="60" w:after="60"/>
                    <w:suppressOverlap/>
                    <w:rPr>
                      <w:rFonts w:asciiTheme="majorHAnsi" w:hAnsiTheme="majorHAnsi"/>
                      <w:sz w:val="20"/>
                      <w:szCs w:val="20"/>
                      <w:lang w:val="en-GB"/>
                    </w:rPr>
                  </w:pPr>
                  <w:r w:rsidRPr="00760F5B">
                    <w:rPr>
                      <w:rFonts w:asciiTheme="majorHAnsi" w:hAnsiTheme="majorHAnsi"/>
                      <w:sz w:val="20"/>
                      <w:szCs w:val="20"/>
                      <w:lang w:val="en-GB"/>
                    </w:rPr>
                    <w:t>Demonstrate in-depth geographic understanding of the sustainable use of an environment</w:t>
                  </w:r>
                </w:p>
              </w:tc>
              <w:tc>
                <w:tcPr>
                  <w:tcW w:w="1667" w:type="pct"/>
                </w:tcPr>
                <w:p w14:paraId="337813B1" w14:textId="4590D02E" w:rsidR="0007183B" w:rsidRPr="00760F5B" w:rsidRDefault="0007183B" w:rsidP="00C41AAD">
                  <w:pPr>
                    <w:framePr w:hSpace="180" w:wrap="around" w:vAnchor="text" w:hAnchor="text" w:y="1"/>
                    <w:numPr>
                      <w:ilvl w:val="0"/>
                      <w:numId w:val="18"/>
                    </w:numPr>
                    <w:spacing w:before="60" w:after="60"/>
                    <w:suppressOverlap/>
                    <w:rPr>
                      <w:rFonts w:asciiTheme="majorHAnsi" w:hAnsiTheme="majorHAnsi"/>
                      <w:sz w:val="20"/>
                      <w:szCs w:val="20"/>
                      <w:lang w:val="en-GB"/>
                    </w:rPr>
                  </w:pPr>
                  <w:r w:rsidRPr="00760F5B">
                    <w:rPr>
                      <w:rFonts w:asciiTheme="majorHAnsi" w:hAnsiTheme="majorHAnsi"/>
                      <w:sz w:val="20"/>
                      <w:szCs w:val="20"/>
                      <w:lang w:val="en-GB"/>
                    </w:rPr>
                    <w:t>Demonstrate comprehensive geographic understanding of the sustainable use of an environment</w:t>
                  </w:r>
                </w:p>
              </w:tc>
            </w:tr>
          </w:tbl>
          <w:p w14:paraId="20DA4FB7" w14:textId="77777777" w:rsidR="00760F5B" w:rsidRPr="00760F5B" w:rsidRDefault="00760F5B" w:rsidP="00760F5B">
            <w:pPr>
              <w:keepNext/>
              <w:outlineLvl w:val="0"/>
              <w:rPr>
                <w:rFonts w:asciiTheme="majorHAnsi" w:hAnsiTheme="majorHAnsi"/>
                <w:b/>
                <w:lang w:val="en-GB"/>
              </w:rPr>
            </w:pPr>
            <w:r w:rsidRPr="00760F5B">
              <w:rPr>
                <w:rFonts w:asciiTheme="majorHAnsi" w:hAnsiTheme="majorHAnsi"/>
                <w:b/>
                <w:lang w:val="en-GB"/>
              </w:rPr>
              <w:t>Explanatory Notes</w:t>
            </w:r>
          </w:p>
          <w:p w14:paraId="7230E503" w14:textId="77777777" w:rsidR="00760F5B" w:rsidRPr="00760F5B" w:rsidRDefault="00760F5B" w:rsidP="00760F5B">
            <w:pPr>
              <w:keepNext/>
              <w:rPr>
                <w:rFonts w:asciiTheme="majorHAnsi" w:hAnsiTheme="majorHAnsi"/>
                <w:lang w:val="en-GB"/>
              </w:rPr>
            </w:pPr>
          </w:p>
          <w:p w14:paraId="58CE9382" w14:textId="77777777" w:rsidR="00760F5B" w:rsidRPr="00760F5B" w:rsidRDefault="00760F5B" w:rsidP="00760F5B">
            <w:pPr>
              <w:numPr>
                <w:ilvl w:val="0"/>
                <w:numId w:val="25"/>
              </w:numPr>
              <w:tabs>
                <w:tab w:val="left" w:pos="1134"/>
                <w:tab w:val="left" w:pos="1701"/>
              </w:tabs>
              <w:rPr>
                <w:rFonts w:asciiTheme="majorHAnsi" w:hAnsiTheme="majorHAnsi"/>
                <w:color w:val="000000"/>
                <w:lang w:val="en-GB"/>
              </w:rPr>
            </w:pPr>
            <w:r w:rsidRPr="00760F5B">
              <w:rPr>
                <w:rFonts w:asciiTheme="majorHAnsi" w:hAnsiTheme="majorHAnsi"/>
                <w:lang w:val="en-GB"/>
              </w:rPr>
              <w:t xml:space="preserve">This achievement standard is derived from the second Level 6 Geography achievement objective of </w:t>
            </w:r>
            <w:r w:rsidRPr="00760F5B">
              <w:rPr>
                <w:rFonts w:asciiTheme="majorHAnsi" w:hAnsiTheme="majorHAnsi"/>
                <w:i/>
                <w:lang w:val="en-GB"/>
              </w:rPr>
              <w:t>The New Zealand Curriculum</w:t>
            </w:r>
            <w:r w:rsidRPr="00760F5B">
              <w:rPr>
                <w:rFonts w:asciiTheme="majorHAnsi" w:hAnsiTheme="majorHAnsi"/>
                <w:lang w:val="en-GB"/>
              </w:rPr>
              <w:t>, Learning Media, Ministry of Education, 2007, and is related to material in the</w:t>
            </w:r>
            <w:r w:rsidRPr="00760F5B">
              <w:rPr>
                <w:rFonts w:asciiTheme="majorHAnsi" w:hAnsiTheme="majorHAnsi"/>
                <w:i/>
                <w:lang w:val="en-GB"/>
              </w:rPr>
              <w:t xml:space="preserve"> Teaching and Learning Guide for Geography, </w:t>
            </w:r>
            <w:r w:rsidRPr="00760F5B">
              <w:rPr>
                <w:rFonts w:asciiTheme="majorHAnsi" w:hAnsiTheme="majorHAnsi"/>
                <w:lang w:val="en-GB"/>
              </w:rPr>
              <w:t xml:space="preserve">Ministry of Education, 2010 at </w:t>
            </w:r>
            <w:hyperlink r:id="rId8" w:history="1">
              <w:r w:rsidRPr="00760F5B">
                <w:rPr>
                  <w:rStyle w:val="Hyperlink"/>
                  <w:rFonts w:asciiTheme="majorHAnsi" w:hAnsiTheme="majorHAnsi" w:cs="Arial"/>
                </w:rPr>
                <w:t>http://seniorsecondary.tki.org.nz</w:t>
              </w:r>
            </w:hyperlink>
            <w:r w:rsidRPr="00760F5B">
              <w:rPr>
                <w:rFonts w:asciiTheme="majorHAnsi" w:hAnsiTheme="majorHAnsi"/>
                <w:color w:val="000000"/>
              </w:rPr>
              <w:t>.</w:t>
            </w:r>
          </w:p>
          <w:p w14:paraId="07FDBFF7" w14:textId="77777777" w:rsidR="00760F5B" w:rsidRPr="00760F5B" w:rsidRDefault="00760F5B" w:rsidP="00760F5B">
            <w:pPr>
              <w:rPr>
                <w:rFonts w:asciiTheme="majorHAnsi" w:hAnsiTheme="majorHAnsi"/>
                <w:lang w:val="en-GB"/>
              </w:rPr>
            </w:pPr>
          </w:p>
          <w:p w14:paraId="2CBA2320" w14:textId="77777777" w:rsidR="00760F5B" w:rsidRPr="00760F5B" w:rsidRDefault="00760F5B" w:rsidP="00760F5B">
            <w:pPr>
              <w:ind w:left="567"/>
              <w:rPr>
                <w:rFonts w:asciiTheme="majorHAnsi" w:hAnsiTheme="majorHAnsi" w:cs="Arial"/>
              </w:rPr>
            </w:pPr>
            <w:r w:rsidRPr="00760F5B">
              <w:rPr>
                <w:rFonts w:asciiTheme="majorHAnsi" w:hAnsiTheme="majorHAnsi" w:cs="Arial"/>
              </w:rPr>
              <w:t xml:space="preserve">This standard is also derived from </w:t>
            </w:r>
            <w:r w:rsidRPr="00760F5B">
              <w:rPr>
                <w:rFonts w:asciiTheme="majorHAnsi" w:hAnsiTheme="majorHAnsi" w:cs="Arial"/>
                <w:lang w:val="mi-NZ"/>
              </w:rPr>
              <w:t>Te Marautanga o Aotearoa</w:t>
            </w:r>
            <w:r w:rsidRPr="00760F5B">
              <w:rPr>
                <w:rFonts w:asciiTheme="majorHAnsi" w:hAnsiTheme="majorHAnsi" w:cs="Arial"/>
              </w:rPr>
              <w:t xml:space="preserve">.  For details of </w:t>
            </w:r>
            <w:r w:rsidRPr="00760F5B">
              <w:rPr>
                <w:rFonts w:asciiTheme="majorHAnsi" w:hAnsiTheme="majorHAnsi" w:cs="Arial"/>
                <w:lang w:val="mi-NZ"/>
              </w:rPr>
              <w:t>Te Marautanga o Aotearoa</w:t>
            </w:r>
            <w:r w:rsidRPr="00760F5B">
              <w:rPr>
                <w:rFonts w:asciiTheme="majorHAnsi" w:hAnsiTheme="majorHAnsi" w:cs="Arial"/>
              </w:rPr>
              <w:t xml:space="preserve"> achievement objectives to which this standard relates, see the </w:t>
            </w:r>
            <w:hyperlink r:id="rId9" w:history="1">
              <w:r w:rsidRPr="00760F5B">
                <w:rPr>
                  <w:rStyle w:val="Hyperlink"/>
                  <w:rFonts w:asciiTheme="majorHAnsi" w:hAnsiTheme="majorHAnsi"/>
                  <w:lang w:val="mi-NZ"/>
                </w:rPr>
                <w:t>Papa Whakaako</w:t>
              </w:r>
            </w:hyperlink>
            <w:r w:rsidRPr="00760F5B">
              <w:rPr>
                <w:rFonts w:asciiTheme="majorHAnsi" w:hAnsiTheme="majorHAnsi" w:cs="Arial"/>
              </w:rPr>
              <w:t>.</w:t>
            </w:r>
          </w:p>
          <w:p w14:paraId="7BE24588" w14:textId="77777777" w:rsidR="00760F5B" w:rsidRPr="00760F5B" w:rsidRDefault="00760F5B" w:rsidP="00760F5B">
            <w:pPr>
              <w:rPr>
                <w:rFonts w:asciiTheme="majorHAnsi" w:hAnsiTheme="majorHAnsi"/>
                <w:lang w:val="en-GB"/>
              </w:rPr>
            </w:pPr>
          </w:p>
          <w:p w14:paraId="32927A7A" w14:textId="77777777" w:rsidR="00760F5B" w:rsidRPr="00760F5B" w:rsidRDefault="00760F5B" w:rsidP="00760F5B">
            <w:pPr>
              <w:numPr>
                <w:ilvl w:val="0"/>
                <w:numId w:val="25"/>
              </w:numPr>
              <w:tabs>
                <w:tab w:val="left" w:pos="567"/>
                <w:tab w:val="left" w:pos="1134"/>
                <w:tab w:val="left" w:pos="1701"/>
              </w:tabs>
              <w:rPr>
                <w:rFonts w:asciiTheme="majorHAnsi" w:hAnsiTheme="majorHAnsi"/>
              </w:rPr>
            </w:pPr>
            <w:r w:rsidRPr="00760F5B">
              <w:rPr>
                <w:rFonts w:asciiTheme="majorHAnsi" w:hAnsiTheme="majorHAnsi"/>
                <w:i/>
              </w:rPr>
              <w:t>Demonstrate geographic understanding</w:t>
            </w:r>
            <w:r w:rsidRPr="00760F5B">
              <w:rPr>
                <w:rFonts w:asciiTheme="majorHAnsi" w:hAnsiTheme="majorHAnsi"/>
              </w:rPr>
              <w:t xml:space="preserve"> typically involves:</w:t>
            </w:r>
          </w:p>
          <w:p w14:paraId="38716EC4" w14:textId="77777777" w:rsidR="00760F5B" w:rsidRPr="00760F5B" w:rsidRDefault="00760F5B" w:rsidP="00760F5B">
            <w:pPr>
              <w:numPr>
                <w:ilvl w:val="1"/>
                <w:numId w:val="26"/>
              </w:numPr>
              <w:tabs>
                <w:tab w:val="clear" w:pos="851"/>
                <w:tab w:val="left" w:pos="924"/>
              </w:tabs>
              <w:ind w:left="924" w:hanging="357"/>
              <w:rPr>
                <w:rFonts w:asciiTheme="majorHAnsi" w:hAnsiTheme="majorHAnsi"/>
                <w:lang w:val="en-GB"/>
              </w:rPr>
            </w:pPr>
            <w:proofErr w:type="gramStart"/>
            <w:r w:rsidRPr="00760F5B">
              <w:rPr>
                <w:rFonts w:asciiTheme="majorHAnsi" w:hAnsiTheme="majorHAnsi"/>
                <w:lang w:val="en-GB"/>
              </w:rPr>
              <w:t>describing</w:t>
            </w:r>
            <w:proofErr w:type="gramEnd"/>
            <w:r w:rsidRPr="00760F5B">
              <w:rPr>
                <w:rFonts w:asciiTheme="majorHAnsi" w:hAnsiTheme="majorHAnsi"/>
                <w:lang w:val="en-GB"/>
              </w:rPr>
              <w:t xml:space="preserve"> how and why people use the selected environment</w:t>
            </w:r>
          </w:p>
          <w:p w14:paraId="72B323E0" w14:textId="77777777" w:rsidR="00760F5B" w:rsidRPr="00760F5B" w:rsidRDefault="00760F5B" w:rsidP="00760F5B">
            <w:pPr>
              <w:numPr>
                <w:ilvl w:val="1"/>
                <w:numId w:val="26"/>
              </w:numPr>
              <w:tabs>
                <w:tab w:val="clear" w:pos="851"/>
                <w:tab w:val="left" w:pos="924"/>
              </w:tabs>
              <w:ind w:left="924" w:hanging="357"/>
              <w:rPr>
                <w:rFonts w:asciiTheme="majorHAnsi" w:hAnsiTheme="majorHAnsi"/>
                <w:lang w:val="en-GB"/>
              </w:rPr>
            </w:pPr>
            <w:proofErr w:type="gramStart"/>
            <w:r w:rsidRPr="00760F5B">
              <w:rPr>
                <w:rFonts w:asciiTheme="majorHAnsi" w:hAnsiTheme="majorHAnsi"/>
                <w:lang w:val="en-GB"/>
              </w:rPr>
              <w:t>describing</w:t>
            </w:r>
            <w:proofErr w:type="gramEnd"/>
            <w:r w:rsidRPr="00760F5B">
              <w:rPr>
                <w:rFonts w:asciiTheme="majorHAnsi" w:hAnsiTheme="majorHAnsi"/>
                <w:lang w:val="en-GB"/>
              </w:rPr>
              <w:t xml:space="preserve"> the consequences of this use on people and environment</w:t>
            </w:r>
          </w:p>
          <w:p w14:paraId="5D743DF0" w14:textId="77777777" w:rsidR="00760F5B" w:rsidRPr="00760F5B" w:rsidRDefault="00760F5B" w:rsidP="00760F5B">
            <w:pPr>
              <w:numPr>
                <w:ilvl w:val="1"/>
                <w:numId w:val="26"/>
              </w:numPr>
              <w:tabs>
                <w:tab w:val="clear" w:pos="851"/>
                <w:tab w:val="left" w:pos="924"/>
              </w:tabs>
              <w:ind w:left="924" w:hanging="357"/>
              <w:rPr>
                <w:rFonts w:asciiTheme="majorHAnsi" w:hAnsiTheme="majorHAnsi"/>
                <w:lang w:val="en-GB"/>
              </w:rPr>
            </w:pPr>
            <w:proofErr w:type="gramStart"/>
            <w:r w:rsidRPr="00760F5B">
              <w:rPr>
                <w:rFonts w:asciiTheme="majorHAnsi" w:hAnsiTheme="majorHAnsi"/>
                <w:lang w:val="en-GB"/>
              </w:rPr>
              <w:t>describing</w:t>
            </w:r>
            <w:proofErr w:type="gramEnd"/>
            <w:r w:rsidRPr="00760F5B">
              <w:rPr>
                <w:rFonts w:asciiTheme="majorHAnsi" w:hAnsiTheme="majorHAnsi"/>
                <w:lang w:val="en-GB"/>
              </w:rPr>
              <w:t xml:space="preserve"> the sustainability, or otherwise, of the selected environment with continued use.</w:t>
            </w:r>
          </w:p>
          <w:p w14:paraId="4F78F9E0" w14:textId="77777777" w:rsidR="00760F5B" w:rsidRPr="00760F5B" w:rsidRDefault="00760F5B" w:rsidP="00760F5B">
            <w:pPr>
              <w:ind w:left="567"/>
              <w:rPr>
                <w:rFonts w:asciiTheme="majorHAnsi" w:hAnsiTheme="majorHAnsi"/>
                <w:lang w:val="en-GB"/>
              </w:rPr>
            </w:pPr>
          </w:p>
          <w:p w14:paraId="6F16F079" w14:textId="77777777" w:rsidR="00760F5B" w:rsidRPr="00760F5B" w:rsidRDefault="00760F5B" w:rsidP="00760F5B">
            <w:pPr>
              <w:ind w:left="567"/>
              <w:rPr>
                <w:rFonts w:asciiTheme="majorHAnsi" w:hAnsiTheme="majorHAnsi"/>
                <w:lang w:val="en-GB"/>
              </w:rPr>
            </w:pPr>
            <w:r w:rsidRPr="00760F5B">
              <w:rPr>
                <w:rFonts w:asciiTheme="majorHAnsi" w:hAnsiTheme="majorHAnsi"/>
                <w:i/>
                <w:lang w:val="en-GB"/>
              </w:rPr>
              <w:t>Demonstrate in-depth geographic understanding</w:t>
            </w:r>
            <w:r w:rsidRPr="00760F5B">
              <w:rPr>
                <w:rFonts w:asciiTheme="majorHAnsi" w:hAnsiTheme="majorHAnsi"/>
                <w:lang w:val="en-GB"/>
              </w:rPr>
              <w:t xml:space="preserve"> typically involves:</w:t>
            </w:r>
          </w:p>
          <w:p w14:paraId="5E143396" w14:textId="77777777" w:rsidR="00760F5B" w:rsidRPr="00760F5B" w:rsidRDefault="00760F5B" w:rsidP="00760F5B">
            <w:pPr>
              <w:numPr>
                <w:ilvl w:val="1"/>
                <w:numId w:val="26"/>
              </w:numPr>
              <w:tabs>
                <w:tab w:val="clear" w:pos="851"/>
                <w:tab w:val="left" w:pos="924"/>
              </w:tabs>
              <w:ind w:left="924" w:hanging="357"/>
              <w:rPr>
                <w:rFonts w:asciiTheme="majorHAnsi" w:hAnsiTheme="majorHAnsi"/>
                <w:lang w:val="en-GB"/>
              </w:rPr>
            </w:pPr>
            <w:proofErr w:type="gramStart"/>
            <w:r w:rsidRPr="00760F5B">
              <w:rPr>
                <w:rFonts w:asciiTheme="majorHAnsi" w:hAnsiTheme="majorHAnsi"/>
                <w:lang w:val="en-GB"/>
              </w:rPr>
              <w:t>explaining</w:t>
            </w:r>
            <w:proofErr w:type="gramEnd"/>
            <w:r w:rsidRPr="00760F5B">
              <w:rPr>
                <w:rFonts w:asciiTheme="majorHAnsi" w:hAnsiTheme="majorHAnsi"/>
                <w:lang w:val="en-GB"/>
              </w:rPr>
              <w:t xml:space="preserve"> the consequences of the use of the selected environment on people and environment</w:t>
            </w:r>
          </w:p>
          <w:p w14:paraId="480BF568" w14:textId="77777777" w:rsidR="00760F5B" w:rsidRPr="00760F5B" w:rsidRDefault="00760F5B" w:rsidP="00760F5B">
            <w:pPr>
              <w:numPr>
                <w:ilvl w:val="1"/>
                <w:numId w:val="26"/>
              </w:numPr>
              <w:tabs>
                <w:tab w:val="clear" w:pos="851"/>
                <w:tab w:val="left" w:pos="924"/>
              </w:tabs>
              <w:ind w:left="924" w:hanging="357"/>
              <w:rPr>
                <w:rFonts w:asciiTheme="majorHAnsi" w:hAnsiTheme="majorHAnsi"/>
                <w:lang w:val="en-GB"/>
              </w:rPr>
            </w:pPr>
            <w:proofErr w:type="gramStart"/>
            <w:r w:rsidRPr="00760F5B">
              <w:rPr>
                <w:rFonts w:asciiTheme="majorHAnsi" w:hAnsiTheme="majorHAnsi"/>
                <w:lang w:val="en-GB"/>
              </w:rPr>
              <w:t>explaining</w:t>
            </w:r>
            <w:proofErr w:type="gramEnd"/>
            <w:r w:rsidRPr="00760F5B">
              <w:rPr>
                <w:rFonts w:asciiTheme="majorHAnsi" w:hAnsiTheme="majorHAnsi"/>
                <w:lang w:val="en-GB"/>
              </w:rPr>
              <w:t xml:space="preserve"> the sustainability, or otherwise, of the selected environment with continued use.</w:t>
            </w:r>
          </w:p>
          <w:p w14:paraId="0DD2708C" w14:textId="77777777" w:rsidR="00760F5B" w:rsidRPr="00760F5B" w:rsidRDefault="00760F5B" w:rsidP="00760F5B">
            <w:pPr>
              <w:ind w:left="567"/>
              <w:rPr>
                <w:rFonts w:asciiTheme="majorHAnsi" w:hAnsiTheme="majorHAnsi"/>
                <w:lang w:val="en-GB"/>
              </w:rPr>
            </w:pPr>
          </w:p>
          <w:p w14:paraId="5D347590" w14:textId="77777777" w:rsidR="00760F5B" w:rsidRPr="00760F5B" w:rsidRDefault="00760F5B" w:rsidP="00760F5B">
            <w:pPr>
              <w:keepNext/>
              <w:keepLines/>
              <w:ind w:left="567"/>
              <w:rPr>
                <w:rFonts w:asciiTheme="majorHAnsi" w:hAnsiTheme="majorHAnsi"/>
                <w:lang w:val="en-GB"/>
              </w:rPr>
            </w:pPr>
            <w:r w:rsidRPr="00760F5B">
              <w:rPr>
                <w:rFonts w:asciiTheme="majorHAnsi" w:hAnsiTheme="majorHAnsi"/>
                <w:i/>
                <w:lang w:val="en-GB"/>
              </w:rPr>
              <w:t>Demonstrate comprehensive geographic understanding</w:t>
            </w:r>
            <w:r w:rsidRPr="00760F5B">
              <w:rPr>
                <w:rFonts w:asciiTheme="majorHAnsi" w:hAnsiTheme="majorHAnsi"/>
                <w:lang w:val="en-GB"/>
              </w:rPr>
              <w:t xml:space="preserve"> typically involves using geographic terminology and concepts, and showing insight in:</w:t>
            </w:r>
          </w:p>
          <w:p w14:paraId="408EF2D3" w14:textId="77777777" w:rsidR="00760F5B" w:rsidRPr="00760F5B" w:rsidRDefault="00760F5B" w:rsidP="00760F5B">
            <w:pPr>
              <w:keepNext/>
              <w:keepLines/>
              <w:numPr>
                <w:ilvl w:val="1"/>
                <w:numId w:val="26"/>
              </w:numPr>
              <w:tabs>
                <w:tab w:val="clear" w:pos="851"/>
                <w:tab w:val="left" w:pos="924"/>
              </w:tabs>
              <w:ind w:left="924" w:hanging="357"/>
              <w:rPr>
                <w:rFonts w:asciiTheme="majorHAnsi" w:hAnsiTheme="majorHAnsi"/>
                <w:lang w:val="en-GB"/>
              </w:rPr>
            </w:pPr>
            <w:proofErr w:type="gramStart"/>
            <w:r w:rsidRPr="00760F5B">
              <w:rPr>
                <w:rFonts w:asciiTheme="majorHAnsi" w:hAnsiTheme="majorHAnsi"/>
                <w:lang w:val="en-GB"/>
              </w:rPr>
              <w:t>fully</w:t>
            </w:r>
            <w:proofErr w:type="gramEnd"/>
            <w:r w:rsidRPr="00760F5B">
              <w:rPr>
                <w:rFonts w:asciiTheme="majorHAnsi" w:hAnsiTheme="majorHAnsi"/>
                <w:lang w:val="en-GB"/>
              </w:rPr>
              <w:t xml:space="preserve"> explaining the consequences of the use of the selected environment on people and environment</w:t>
            </w:r>
          </w:p>
          <w:p w14:paraId="47065681" w14:textId="77777777" w:rsidR="00760F5B" w:rsidRPr="00760F5B" w:rsidRDefault="00760F5B" w:rsidP="00760F5B">
            <w:pPr>
              <w:keepNext/>
              <w:keepLines/>
              <w:numPr>
                <w:ilvl w:val="1"/>
                <w:numId w:val="26"/>
              </w:numPr>
              <w:tabs>
                <w:tab w:val="clear" w:pos="851"/>
                <w:tab w:val="left" w:pos="924"/>
              </w:tabs>
              <w:ind w:left="924" w:hanging="357"/>
              <w:rPr>
                <w:rFonts w:asciiTheme="majorHAnsi" w:hAnsiTheme="majorHAnsi"/>
                <w:lang w:val="en-GB"/>
              </w:rPr>
            </w:pPr>
            <w:proofErr w:type="gramStart"/>
            <w:r w:rsidRPr="00760F5B">
              <w:rPr>
                <w:rFonts w:asciiTheme="majorHAnsi" w:hAnsiTheme="majorHAnsi"/>
                <w:lang w:val="en-GB"/>
              </w:rPr>
              <w:t>fully</w:t>
            </w:r>
            <w:proofErr w:type="gramEnd"/>
            <w:r w:rsidRPr="00760F5B">
              <w:rPr>
                <w:rFonts w:asciiTheme="majorHAnsi" w:hAnsiTheme="majorHAnsi"/>
                <w:lang w:val="en-GB"/>
              </w:rPr>
              <w:t xml:space="preserve"> explaining the sustainability, or otherwise, of the selected environment with continued use.</w:t>
            </w:r>
          </w:p>
          <w:p w14:paraId="59316223" w14:textId="77777777" w:rsidR="00760F5B" w:rsidRPr="00760F5B" w:rsidRDefault="00760F5B" w:rsidP="00760F5B">
            <w:pPr>
              <w:ind w:left="567"/>
              <w:rPr>
                <w:rFonts w:asciiTheme="majorHAnsi" w:hAnsiTheme="majorHAnsi"/>
                <w:lang w:val="en-GB"/>
              </w:rPr>
            </w:pPr>
          </w:p>
          <w:p w14:paraId="568EB94C" w14:textId="77777777" w:rsidR="00760F5B" w:rsidRPr="00760F5B" w:rsidRDefault="00760F5B" w:rsidP="00760F5B">
            <w:pPr>
              <w:numPr>
                <w:ilvl w:val="0"/>
                <w:numId w:val="25"/>
              </w:numPr>
              <w:tabs>
                <w:tab w:val="left" w:pos="567"/>
                <w:tab w:val="left" w:pos="1134"/>
                <w:tab w:val="left" w:pos="1701"/>
              </w:tabs>
              <w:rPr>
                <w:rFonts w:asciiTheme="majorHAnsi" w:hAnsiTheme="majorHAnsi" w:cs="Arial"/>
              </w:rPr>
            </w:pPr>
            <w:r w:rsidRPr="00760F5B">
              <w:rPr>
                <w:rFonts w:asciiTheme="majorHAnsi" w:hAnsiTheme="majorHAnsi" w:cs="Arial"/>
                <w:i/>
              </w:rPr>
              <w:t>Geographic understanding</w:t>
            </w:r>
            <w:r w:rsidRPr="00760F5B">
              <w:rPr>
                <w:rFonts w:asciiTheme="majorHAnsi" w:hAnsiTheme="majorHAnsi" w:cs="Arial"/>
              </w:rPr>
              <w:t xml:space="preserve"> refers to an understanding of the spatial dimension of the environment, and an understanding of how people interact with environments and the consequences of that interaction.</w:t>
            </w:r>
          </w:p>
          <w:p w14:paraId="3C67779E" w14:textId="77777777" w:rsidR="00760F5B" w:rsidRPr="00760F5B" w:rsidRDefault="00760F5B" w:rsidP="00760F5B">
            <w:pPr>
              <w:ind w:left="567"/>
              <w:rPr>
                <w:rFonts w:asciiTheme="majorHAnsi" w:hAnsiTheme="majorHAnsi"/>
                <w:lang w:val="en-GB"/>
              </w:rPr>
            </w:pPr>
          </w:p>
          <w:p w14:paraId="6864CE86" w14:textId="77777777" w:rsidR="00760F5B" w:rsidRPr="00760F5B" w:rsidRDefault="00760F5B" w:rsidP="00760F5B">
            <w:pPr>
              <w:ind w:left="567"/>
              <w:rPr>
                <w:rFonts w:asciiTheme="majorHAnsi" w:hAnsiTheme="majorHAnsi" w:cs="Arial"/>
              </w:rPr>
            </w:pPr>
            <w:r w:rsidRPr="00760F5B">
              <w:rPr>
                <w:rFonts w:asciiTheme="majorHAnsi" w:hAnsiTheme="majorHAnsi" w:cs="Arial"/>
                <w:i/>
              </w:rPr>
              <w:t>Environment</w:t>
            </w:r>
            <w:r w:rsidRPr="00760F5B">
              <w:rPr>
                <w:rFonts w:asciiTheme="majorHAnsi" w:hAnsiTheme="majorHAnsi" w:cs="Arial"/>
              </w:rPr>
              <w:t xml:space="preserve"> refers to a part of the earth’s surface characterised by a specific use.</w:t>
            </w:r>
          </w:p>
          <w:p w14:paraId="7E53DA9E" w14:textId="77777777" w:rsidR="00760F5B" w:rsidRPr="00760F5B" w:rsidRDefault="00760F5B" w:rsidP="00760F5B">
            <w:pPr>
              <w:ind w:left="567"/>
              <w:rPr>
                <w:rFonts w:asciiTheme="majorHAnsi" w:hAnsiTheme="majorHAnsi"/>
                <w:lang w:val="en-GB"/>
              </w:rPr>
            </w:pPr>
          </w:p>
          <w:p w14:paraId="71F6EDD6" w14:textId="77777777" w:rsidR="00760F5B" w:rsidRPr="00760F5B" w:rsidRDefault="00760F5B" w:rsidP="00760F5B">
            <w:pPr>
              <w:tabs>
                <w:tab w:val="left" w:pos="567"/>
                <w:tab w:val="left" w:pos="1134"/>
                <w:tab w:val="left" w:pos="1701"/>
              </w:tabs>
              <w:ind w:left="567"/>
              <w:rPr>
                <w:rFonts w:asciiTheme="majorHAnsi" w:hAnsiTheme="majorHAnsi" w:cs="Arial"/>
              </w:rPr>
            </w:pPr>
            <w:r w:rsidRPr="00760F5B">
              <w:rPr>
                <w:rFonts w:asciiTheme="majorHAnsi" w:hAnsiTheme="majorHAnsi" w:cs="Arial"/>
                <w:i/>
              </w:rPr>
              <w:t>Use of an environment</w:t>
            </w:r>
            <w:r w:rsidRPr="00760F5B">
              <w:rPr>
                <w:rFonts w:asciiTheme="majorHAnsi" w:hAnsiTheme="majorHAnsi" w:cs="Arial"/>
              </w:rPr>
              <w:t xml:space="preserve"> refers to using it for a purpose such as mining, farming, fishing, tourism, energy production, recreation, forestry, </w:t>
            </w:r>
            <w:proofErr w:type="gramStart"/>
            <w:r w:rsidRPr="00760F5B">
              <w:rPr>
                <w:rFonts w:asciiTheme="majorHAnsi" w:hAnsiTheme="majorHAnsi" w:cs="Arial"/>
              </w:rPr>
              <w:t>transportation</w:t>
            </w:r>
            <w:proofErr w:type="gramEnd"/>
            <w:r w:rsidRPr="00760F5B">
              <w:rPr>
                <w:rFonts w:asciiTheme="majorHAnsi" w:hAnsiTheme="majorHAnsi" w:cs="Arial"/>
              </w:rPr>
              <w:t>.</w:t>
            </w:r>
          </w:p>
          <w:p w14:paraId="290F101F" w14:textId="77777777" w:rsidR="00760F5B" w:rsidRPr="00760F5B" w:rsidRDefault="00760F5B" w:rsidP="00760F5B">
            <w:pPr>
              <w:tabs>
                <w:tab w:val="left" w:pos="567"/>
                <w:tab w:val="left" w:pos="1134"/>
                <w:tab w:val="left" w:pos="1701"/>
              </w:tabs>
              <w:ind w:left="567"/>
              <w:rPr>
                <w:rFonts w:asciiTheme="majorHAnsi" w:hAnsiTheme="majorHAnsi"/>
                <w:lang w:val="en-GB"/>
              </w:rPr>
            </w:pPr>
          </w:p>
          <w:p w14:paraId="538AB9E5" w14:textId="3FA89A81" w:rsidR="00760F5B" w:rsidRPr="00E6132A" w:rsidRDefault="00760F5B" w:rsidP="00E6132A">
            <w:pPr>
              <w:tabs>
                <w:tab w:val="left" w:pos="567"/>
                <w:tab w:val="left" w:pos="1134"/>
                <w:tab w:val="left" w:pos="1701"/>
              </w:tabs>
              <w:ind w:left="567"/>
              <w:rPr>
                <w:rFonts w:asciiTheme="majorHAnsi" w:hAnsiTheme="majorHAnsi" w:cs="Arial"/>
              </w:rPr>
            </w:pPr>
            <w:r w:rsidRPr="00760F5B">
              <w:rPr>
                <w:rFonts w:asciiTheme="majorHAnsi" w:hAnsiTheme="majorHAnsi" w:cs="Arial"/>
                <w:i/>
              </w:rPr>
              <w:t>Sustainable use</w:t>
            </w:r>
            <w:r w:rsidRPr="00760F5B">
              <w:rPr>
                <w:rFonts w:asciiTheme="majorHAnsi" w:hAnsiTheme="majorHAnsi" w:cs="Arial"/>
              </w:rPr>
              <w:t xml:space="preserve"> refers to the extent to which this use can be maintained in the future to</w:t>
            </w:r>
            <w:r w:rsidR="00C57343">
              <w:rPr>
                <w:rFonts w:asciiTheme="majorHAnsi" w:hAnsiTheme="majorHAnsi" w:cs="Arial"/>
              </w:rPr>
              <w:t xml:space="preserve"> minimise environmental impacts.</w:t>
            </w:r>
          </w:p>
          <w:p w14:paraId="360B1E36" w14:textId="77777777" w:rsidR="0007183B" w:rsidRPr="00760F5B" w:rsidRDefault="0007183B" w:rsidP="00760F5B">
            <w:pPr>
              <w:widowControl w:val="0"/>
              <w:tabs>
                <w:tab w:val="left" w:pos="720"/>
              </w:tabs>
              <w:rPr>
                <w:rFonts w:asciiTheme="majorHAnsi" w:hAnsiTheme="majorHAnsi" w:cs="Arial"/>
                <w:sz w:val="20"/>
                <w:szCs w:val="20"/>
              </w:rPr>
            </w:pPr>
          </w:p>
        </w:tc>
        <w:tc>
          <w:tcPr>
            <w:tcW w:w="5586" w:type="dxa"/>
            <w:shd w:val="clear" w:color="auto" w:fill="auto"/>
          </w:tcPr>
          <w:p w14:paraId="1F7CCEF3" w14:textId="77777777" w:rsidR="00760F5B" w:rsidRPr="00196D83" w:rsidRDefault="00760F5B" w:rsidP="00760F5B">
            <w:pPr>
              <w:tabs>
                <w:tab w:val="left" w:pos="1665"/>
              </w:tabs>
              <w:rPr>
                <w:rFonts w:ascii="Arial" w:hAnsi="Arial" w:cs="Arial"/>
              </w:rPr>
            </w:pPr>
          </w:p>
          <w:p w14:paraId="121BF268" w14:textId="77777777" w:rsidR="00760F5B" w:rsidRPr="00760F5B" w:rsidRDefault="00760F5B" w:rsidP="00760F5B">
            <w:pPr>
              <w:rPr>
                <w:rFonts w:asciiTheme="majorHAnsi" w:hAnsiTheme="majorHAnsi" w:cs="Arial"/>
                <w:lang w:eastAsia="en-GB"/>
              </w:rPr>
            </w:pPr>
            <w:r w:rsidRPr="00760F5B">
              <w:rPr>
                <w:rFonts w:asciiTheme="majorHAnsi" w:hAnsiTheme="majorHAnsi" w:cs="Arial"/>
                <w:lang w:eastAsia="en-GB"/>
              </w:rPr>
              <w:t xml:space="preserve">Students should demonstrate an understanding </w:t>
            </w:r>
            <w:r w:rsidRPr="00760F5B">
              <w:rPr>
                <w:rFonts w:asciiTheme="majorHAnsi" w:hAnsiTheme="majorHAnsi" w:cs="Arial"/>
              </w:rPr>
              <w:t xml:space="preserve">of the sustainability of use of an environment. The </w:t>
            </w:r>
            <w:proofErr w:type="gramStart"/>
            <w:r w:rsidRPr="00760F5B">
              <w:rPr>
                <w:rFonts w:asciiTheme="majorHAnsi" w:hAnsiTheme="majorHAnsi" w:cs="Arial"/>
              </w:rPr>
              <w:t>resource used as the context could be provided by the teacher for whole class study</w:t>
            </w:r>
            <w:proofErr w:type="gramEnd"/>
            <w:r w:rsidRPr="00760F5B">
              <w:rPr>
                <w:rFonts w:asciiTheme="majorHAnsi" w:hAnsiTheme="majorHAnsi" w:cs="Arial"/>
              </w:rPr>
              <w:t xml:space="preserve"> or students could choose different ways the natural environment is used to study.</w:t>
            </w:r>
          </w:p>
          <w:p w14:paraId="552F471D" w14:textId="77777777" w:rsidR="00760F5B" w:rsidRPr="00760F5B" w:rsidRDefault="00760F5B" w:rsidP="00760F5B">
            <w:pPr>
              <w:keepLines/>
              <w:rPr>
                <w:rFonts w:asciiTheme="majorHAnsi" w:hAnsiTheme="majorHAnsi" w:cs="Arial"/>
                <w:lang w:eastAsia="en-GB"/>
              </w:rPr>
            </w:pPr>
          </w:p>
          <w:p w14:paraId="11C7FA61" w14:textId="77777777" w:rsidR="00760F5B" w:rsidRPr="00760F5B" w:rsidRDefault="00760F5B" w:rsidP="00760F5B">
            <w:pPr>
              <w:keepLines/>
              <w:rPr>
                <w:rFonts w:asciiTheme="majorHAnsi" w:hAnsiTheme="majorHAnsi" w:cs="Arial"/>
                <w:lang w:eastAsia="en-GB"/>
              </w:rPr>
            </w:pPr>
            <w:r w:rsidRPr="00760F5B">
              <w:rPr>
                <w:rFonts w:asciiTheme="majorHAnsi" w:hAnsiTheme="majorHAnsi" w:cs="Arial"/>
                <w:lang w:eastAsia="en-GB"/>
              </w:rPr>
              <w:t>If evidence is acquired through a group activity, participation of all students in the activity should be authenticated.</w:t>
            </w:r>
          </w:p>
          <w:p w14:paraId="3FDD22B8" w14:textId="77777777" w:rsidR="00760F5B" w:rsidRPr="00760F5B" w:rsidRDefault="00760F5B" w:rsidP="00760F5B">
            <w:pPr>
              <w:rPr>
                <w:rFonts w:asciiTheme="majorHAnsi" w:hAnsiTheme="majorHAnsi" w:cs="Arial"/>
                <w:lang w:eastAsia="en-GB"/>
              </w:rPr>
            </w:pPr>
          </w:p>
          <w:p w14:paraId="2189D1A0" w14:textId="77777777" w:rsidR="00760F5B" w:rsidRPr="00760F5B" w:rsidRDefault="00760F5B" w:rsidP="00760F5B">
            <w:pPr>
              <w:rPr>
                <w:rFonts w:asciiTheme="majorHAnsi" w:hAnsiTheme="majorHAnsi" w:cs="Arial"/>
                <w:lang w:eastAsia="en-GB"/>
              </w:rPr>
            </w:pPr>
            <w:r w:rsidRPr="00760F5B">
              <w:rPr>
                <w:rFonts w:asciiTheme="majorHAnsi" w:hAnsiTheme="majorHAnsi" w:cs="Arial"/>
                <w:lang w:eastAsia="en-GB"/>
              </w:rPr>
              <w:t>Assessment evidence should be collected from candidates during or after the relevant teaching and learning has occurred.  Such ongoing collection of evidence would enable assessment tasks to be more closely aligned with learning experiences. If possible, the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14:paraId="3F3BA65D" w14:textId="77777777" w:rsidR="00760F5B" w:rsidRPr="00760F5B" w:rsidRDefault="00760F5B" w:rsidP="00760F5B">
            <w:pPr>
              <w:tabs>
                <w:tab w:val="left" w:pos="426"/>
              </w:tabs>
              <w:rPr>
                <w:rFonts w:asciiTheme="majorHAnsi" w:hAnsiTheme="majorHAnsi" w:cs="Arial"/>
                <w:lang w:eastAsia="en-GB"/>
              </w:rPr>
            </w:pPr>
          </w:p>
          <w:p w14:paraId="6E6A234F" w14:textId="77777777" w:rsidR="00760F5B" w:rsidRPr="00760F5B" w:rsidRDefault="00760F5B" w:rsidP="00760F5B">
            <w:pPr>
              <w:tabs>
                <w:tab w:val="left" w:pos="426"/>
              </w:tabs>
              <w:spacing w:line="276" w:lineRule="auto"/>
              <w:rPr>
                <w:rFonts w:asciiTheme="majorHAnsi" w:hAnsiTheme="majorHAnsi" w:cs="Arial"/>
                <w:b/>
                <w:color w:val="000000"/>
              </w:rPr>
            </w:pPr>
            <w:r w:rsidRPr="00760F5B">
              <w:rPr>
                <w:rFonts w:asciiTheme="majorHAnsi" w:hAnsiTheme="majorHAnsi" w:cs="Arial"/>
                <w:b/>
                <w:lang w:eastAsia="en-GB"/>
              </w:rPr>
              <w:t>Approaches to</w:t>
            </w:r>
            <w:r w:rsidRPr="00760F5B">
              <w:rPr>
                <w:rFonts w:asciiTheme="majorHAnsi" w:hAnsiTheme="majorHAnsi" w:cs="Arial"/>
                <w:b/>
                <w:color w:val="000000"/>
              </w:rPr>
              <w:t xml:space="preserve"> Assessment</w:t>
            </w:r>
          </w:p>
          <w:p w14:paraId="78D9929E" w14:textId="77777777" w:rsidR="00760F5B" w:rsidRPr="00760F5B" w:rsidRDefault="00760F5B" w:rsidP="00760F5B">
            <w:pPr>
              <w:tabs>
                <w:tab w:val="left" w:pos="426"/>
              </w:tabs>
              <w:rPr>
                <w:rFonts w:asciiTheme="majorHAnsi" w:hAnsiTheme="majorHAnsi" w:cs="Arial"/>
                <w:lang w:eastAsia="en-GB"/>
              </w:rPr>
            </w:pPr>
            <w:r w:rsidRPr="00760F5B">
              <w:rPr>
                <w:rFonts w:asciiTheme="majorHAnsi" w:hAnsiTheme="majorHAnsi" w:cs="Arial"/>
              </w:rPr>
              <w:t xml:space="preserve">Suggested approaches </w:t>
            </w:r>
            <w:r w:rsidRPr="00760F5B">
              <w:rPr>
                <w:rFonts w:asciiTheme="majorHAnsi" w:hAnsiTheme="majorHAnsi" w:cs="Arial"/>
                <w:lang w:eastAsia="en-GB"/>
              </w:rPr>
              <w:t xml:space="preserve">to gathering assessment evidence include: </w:t>
            </w:r>
          </w:p>
          <w:p w14:paraId="4DDAC097" w14:textId="77777777" w:rsidR="00760F5B" w:rsidRPr="00760F5B" w:rsidRDefault="00760F5B" w:rsidP="00760F5B">
            <w:pPr>
              <w:numPr>
                <w:ilvl w:val="0"/>
                <w:numId w:val="27"/>
              </w:numPr>
              <w:tabs>
                <w:tab w:val="clear" w:pos="1353"/>
                <w:tab w:val="left" w:pos="284"/>
              </w:tabs>
              <w:ind w:left="284" w:hanging="284"/>
              <w:rPr>
                <w:rFonts w:asciiTheme="majorHAnsi" w:hAnsiTheme="majorHAnsi" w:cs="Arial"/>
                <w:lang w:eastAsia="en-GB"/>
              </w:rPr>
            </w:pPr>
            <w:proofErr w:type="gramStart"/>
            <w:r w:rsidRPr="00760F5B">
              <w:rPr>
                <w:rFonts w:asciiTheme="majorHAnsi" w:hAnsiTheme="majorHAnsi" w:cs="Arial"/>
                <w:lang w:eastAsia="en-GB"/>
              </w:rPr>
              <w:t>collection</w:t>
            </w:r>
            <w:proofErr w:type="gramEnd"/>
            <w:r w:rsidRPr="00760F5B">
              <w:rPr>
                <w:rFonts w:asciiTheme="majorHAnsi" w:hAnsiTheme="majorHAnsi" w:cs="Arial"/>
                <w:lang w:eastAsia="en-GB"/>
              </w:rPr>
              <w:t xml:space="preserve"> of research data using a variety of resources </w:t>
            </w:r>
            <w:proofErr w:type="spellStart"/>
            <w:r w:rsidRPr="00760F5B">
              <w:rPr>
                <w:rFonts w:asciiTheme="majorHAnsi" w:hAnsiTheme="majorHAnsi" w:cs="Arial"/>
                <w:lang w:eastAsia="en-GB"/>
              </w:rPr>
              <w:t>eg</w:t>
            </w:r>
            <w:proofErr w:type="spellEnd"/>
            <w:r w:rsidRPr="00760F5B">
              <w:rPr>
                <w:rFonts w:asciiTheme="majorHAnsi" w:hAnsiTheme="majorHAnsi" w:cs="Arial"/>
                <w:lang w:eastAsia="en-GB"/>
              </w:rPr>
              <w:t xml:space="preserve">. </w:t>
            </w:r>
            <w:proofErr w:type="gramStart"/>
            <w:r w:rsidRPr="00760F5B">
              <w:rPr>
                <w:rFonts w:asciiTheme="majorHAnsi" w:hAnsiTheme="majorHAnsi" w:cs="Arial"/>
                <w:lang w:eastAsia="en-GB"/>
              </w:rPr>
              <w:t>internet</w:t>
            </w:r>
            <w:proofErr w:type="gramEnd"/>
            <w:r w:rsidRPr="00760F5B">
              <w:rPr>
                <w:rFonts w:asciiTheme="majorHAnsi" w:hAnsiTheme="majorHAnsi" w:cs="Arial"/>
                <w:lang w:eastAsia="en-GB"/>
              </w:rPr>
              <w:t xml:space="preserve">, library, film media, newspapers, field trips </w:t>
            </w:r>
          </w:p>
          <w:p w14:paraId="5C1B512C" w14:textId="77777777" w:rsidR="00760F5B" w:rsidRPr="00760F5B" w:rsidRDefault="00760F5B" w:rsidP="00760F5B">
            <w:pPr>
              <w:numPr>
                <w:ilvl w:val="0"/>
                <w:numId w:val="27"/>
              </w:numPr>
              <w:tabs>
                <w:tab w:val="clear" w:pos="1353"/>
                <w:tab w:val="left" w:pos="284"/>
              </w:tabs>
              <w:ind w:left="284" w:hanging="284"/>
              <w:rPr>
                <w:rFonts w:asciiTheme="majorHAnsi" w:hAnsiTheme="majorHAnsi" w:cs="Arial"/>
                <w:lang w:eastAsia="en-GB"/>
              </w:rPr>
            </w:pPr>
            <w:proofErr w:type="gramStart"/>
            <w:r w:rsidRPr="00760F5B">
              <w:rPr>
                <w:rFonts w:asciiTheme="majorHAnsi" w:hAnsiTheme="majorHAnsi" w:cs="Arial"/>
                <w:lang w:eastAsia="en-GB"/>
              </w:rPr>
              <w:t>presentation</w:t>
            </w:r>
            <w:proofErr w:type="gramEnd"/>
            <w:r w:rsidRPr="00760F5B">
              <w:rPr>
                <w:rFonts w:asciiTheme="majorHAnsi" w:hAnsiTheme="majorHAnsi" w:cs="Arial"/>
                <w:lang w:eastAsia="en-GB"/>
              </w:rPr>
              <w:t xml:space="preserve"> of evidence could be via digital media and/or oral presentations, a project activity, or for a specific purpose such as a letter to the editor.</w:t>
            </w:r>
          </w:p>
          <w:p w14:paraId="6B847E21" w14:textId="77777777" w:rsidR="0007183B" w:rsidRDefault="0007183B" w:rsidP="00760F5B">
            <w:pPr>
              <w:rPr>
                <w:rFonts w:asciiTheme="majorHAnsi" w:hAnsiTheme="majorHAnsi"/>
                <w:sz w:val="22"/>
                <w:szCs w:val="22"/>
              </w:rPr>
            </w:pP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22C9B312" w14:textId="77777777" w:rsidR="00C57343" w:rsidRPr="00C57343" w:rsidRDefault="00C57343" w:rsidP="00760F5B">
            <w:pPr>
              <w:rPr>
                <w:rFonts w:asciiTheme="majorHAnsi" w:hAnsiTheme="majorHAnsi"/>
                <w:b/>
                <w:color w:val="008000"/>
              </w:rPr>
            </w:pPr>
          </w:p>
          <w:p w14:paraId="29266191" w14:textId="77777777" w:rsidR="00373524" w:rsidRPr="00373524" w:rsidRDefault="00373524" w:rsidP="00C41AAD">
            <w:pPr>
              <w:spacing w:line="285" w:lineRule="atLeast"/>
              <w:ind w:left="360"/>
              <w:textAlignment w:val="baseline"/>
              <w:rPr>
                <w:rFonts w:ascii="Verdana" w:hAnsi="Verdana" w:cs="Times New Roman"/>
                <w:color w:val="333333"/>
                <w:sz w:val="20"/>
                <w:szCs w:val="20"/>
                <w:lang w:val="en-NZ"/>
              </w:rPr>
            </w:pPr>
            <w:r w:rsidRPr="00373524">
              <w:rPr>
                <w:rFonts w:ascii="Verdana" w:hAnsi="Verdana" w:cs="Times New Roman"/>
                <w:color w:val="333333"/>
                <w:sz w:val="20"/>
                <w:szCs w:val="20"/>
                <w:lang w:val="en-NZ"/>
              </w:rPr>
              <w:t>Opportunities for using similar contexts in more than one Geography internally assessed standard could occur with:</w:t>
            </w:r>
          </w:p>
          <w:p w14:paraId="179EFDB8" w14:textId="77777777" w:rsidR="00373524" w:rsidRPr="00373524" w:rsidRDefault="00373524" w:rsidP="00373524">
            <w:pPr>
              <w:numPr>
                <w:ilvl w:val="0"/>
                <w:numId w:val="29"/>
              </w:numPr>
              <w:spacing w:line="285" w:lineRule="atLeast"/>
              <w:ind w:left="480"/>
              <w:textAlignment w:val="baseline"/>
              <w:rPr>
                <w:rFonts w:ascii="Verdana" w:eastAsia="Times New Roman" w:hAnsi="Verdana" w:cs="Times New Roman"/>
                <w:color w:val="333333"/>
                <w:sz w:val="20"/>
                <w:szCs w:val="20"/>
                <w:lang w:val="en-NZ"/>
              </w:rPr>
            </w:pPr>
            <w:r w:rsidRPr="00373524">
              <w:rPr>
                <w:rFonts w:ascii="Verdana" w:eastAsia="Times New Roman" w:hAnsi="Verdana" w:cs="Times New Roman"/>
                <w:color w:val="333333"/>
                <w:sz w:val="20"/>
                <w:szCs w:val="20"/>
                <w:lang w:val="en-NZ"/>
              </w:rPr>
              <w:t>sustainable use of an environment (91009) and geographic research and/or geographic issue standards</w:t>
            </w:r>
          </w:p>
          <w:p w14:paraId="6392C446" w14:textId="5475F0E1" w:rsidR="00373524" w:rsidRPr="00373524" w:rsidRDefault="00373524" w:rsidP="00760F5B">
            <w:pPr>
              <w:rPr>
                <w:rFonts w:asciiTheme="majorHAnsi" w:hAnsiTheme="majorHAnsi"/>
                <w:b/>
              </w:rPr>
            </w:pPr>
            <w:bookmarkStart w:id="0" w:name="_GoBack"/>
            <w:bookmarkEnd w:id="0"/>
          </w:p>
        </w:tc>
      </w:tr>
    </w:tbl>
    <w:p w14:paraId="6AAA5BA4" w14:textId="329074E5" w:rsidR="00751B58" w:rsidRDefault="00751B58"/>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373524" w:rsidRDefault="00373524" w:rsidP="00373524">
      <w:r>
        <w:separator/>
      </w:r>
    </w:p>
  </w:endnote>
  <w:endnote w:type="continuationSeparator" w:id="0">
    <w:p w14:paraId="3CCAF267" w14:textId="77777777" w:rsidR="00373524" w:rsidRDefault="0037352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373524" w:rsidRDefault="00373524" w:rsidP="00373524">
      <w:r>
        <w:separator/>
      </w:r>
    </w:p>
  </w:footnote>
  <w:footnote w:type="continuationSeparator" w:id="0">
    <w:p w14:paraId="56970ED0" w14:textId="77777777" w:rsidR="00373524" w:rsidRDefault="0037352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0">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1">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18">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2">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17"/>
  </w:num>
  <w:num w:numId="2">
    <w:abstractNumId w:val="15"/>
  </w:num>
  <w:num w:numId="3">
    <w:abstractNumId w:val="9"/>
  </w:num>
  <w:num w:numId="4">
    <w:abstractNumId w:val="8"/>
  </w:num>
  <w:num w:numId="5">
    <w:abstractNumId w:val="2"/>
  </w:num>
  <w:num w:numId="6">
    <w:abstractNumId w:val="27"/>
  </w:num>
  <w:num w:numId="7">
    <w:abstractNumId w:val="18"/>
  </w:num>
  <w:num w:numId="8">
    <w:abstractNumId w:val="22"/>
  </w:num>
  <w:num w:numId="9">
    <w:abstractNumId w:val="4"/>
  </w:num>
  <w:num w:numId="10">
    <w:abstractNumId w:val="7"/>
  </w:num>
  <w:num w:numId="11">
    <w:abstractNumId w:val="26"/>
  </w:num>
  <w:num w:numId="12">
    <w:abstractNumId w:val="19"/>
  </w:num>
  <w:num w:numId="13">
    <w:abstractNumId w:val="24"/>
  </w:num>
  <w:num w:numId="14">
    <w:abstractNumId w:val="20"/>
  </w:num>
  <w:num w:numId="15">
    <w:abstractNumId w:val="12"/>
  </w:num>
  <w:num w:numId="16">
    <w:abstractNumId w:val="23"/>
  </w:num>
  <w:num w:numId="17">
    <w:abstractNumId w:val="25"/>
  </w:num>
  <w:num w:numId="18">
    <w:abstractNumId w:val="28"/>
  </w:num>
  <w:num w:numId="19">
    <w:abstractNumId w:val="3"/>
  </w:num>
  <w:num w:numId="20">
    <w:abstractNumId w:val="14"/>
  </w:num>
  <w:num w:numId="21">
    <w:abstractNumId w:val="5"/>
  </w:num>
  <w:num w:numId="22">
    <w:abstractNumId w:val="1"/>
  </w:num>
  <w:num w:numId="23">
    <w:abstractNumId w:val="13"/>
  </w:num>
  <w:num w:numId="24">
    <w:abstractNumId w:val="0"/>
  </w:num>
  <w:num w:numId="25">
    <w:abstractNumId w:val="21"/>
  </w:num>
  <w:num w:numId="26">
    <w:abstractNumId w:val="11"/>
  </w:num>
  <w:num w:numId="27">
    <w:abstractNumId w:val="10"/>
  </w:num>
  <w:num w:numId="28">
    <w:abstractNumId w:val="6"/>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1E83"/>
    <w:rsid w:val="00014779"/>
    <w:rsid w:val="00032896"/>
    <w:rsid w:val="000447FC"/>
    <w:rsid w:val="0007183B"/>
    <w:rsid w:val="000B6643"/>
    <w:rsid w:val="001C5D63"/>
    <w:rsid w:val="00232CC2"/>
    <w:rsid w:val="0026777E"/>
    <w:rsid w:val="00297F9E"/>
    <w:rsid w:val="002C3D42"/>
    <w:rsid w:val="0032061E"/>
    <w:rsid w:val="00370928"/>
    <w:rsid w:val="00373524"/>
    <w:rsid w:val="0039679C"/>
    <w:rsid w:val="003A485B"/>
    <w:rsid w:val="00470CE4"/>
    <w:rsid w:val="004A701A"/>
    <w:rsid w:val="004D2714"/>
    <w:rsid w:val="00535261"/>
    <w:rsid w:val="00560D0E"/>
    <w:rsid w:val="005703F3"/>
    <w:rsid w:val="006C19C6"/>
    <w:rsid w:val="006F6F21"/>
    <w:rsid w:val="00743151"/>
    <w:rsid w:val="00751B58"/>
    <w:rsid w:val="00760F5B"/>
    <w:rsid w:val="0080262F"/>
    <w:rsid w:val="008534CD"/>
    <w:rsid w:val="008561F0"/>
    <w:rsid w:val="008643B7"/>
    <w:rsid w:val="00874788"/>
    <w:rsid w:val="008E1A20"/>
    <w:rsid w:val="009334DE"/>
    <w:rsid w:val="00A1682D"/>
    <w:rsid w:val="00A534FC"/>
    <w:rsid w:val="00AC1FBA"/>
    <w:rsid w:val="00AD79E8"/>
    <w:rsid w:val="00B24813"/>
    <w:rsid w:val="00BE71F3"/>
    <w:rsid w:val="00BF1434"/>
    <w:rsid w:val="00C41AAD"/>
    <w:rsid w:val="00C57343"/>
    <w:rsid w:val="00C57C56"/>
    <w:rsid w:val="00C659CA"/>
    <w:rsid w:val="00D15CD7"/>
    <w:rsid w:val="00D51D01"/>
    <w:rsid w:val="00D73668"/>
    <w:rsid w:val="00DC1030"/>
    <w:rsid w:val="00E05DE6"/>
    <w:rsid w:val="00E355E3"/>
    <w:rsid w:val="00E6132A"/>
    <w:rsid w:val="00E82B66"/>
    <w:rsid w:val="00EF2492"/>
    <w:rsid w:val="00F507A4"/>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hyperlink" Target="http://tmoa.tki.org.nz/Te-Marautanga-o-Aotearoa/Taumata-Matauranga-a-Motu-Ka-Tae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1011</Words>
  <Characters>5766</Characters>
  <Application>Microsoft Macintosh Word</Application>
  <DocSecurity>0</DocSecurity>
  <Lines>48</Lines>
  <Paragraphs>13</Paragraphs>
  <ScaleCrop>false</ScaleCrop>
  <Company>The University of Auckland</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14</cp:revision>
  <cp:lastPrinted>2016-10-27T02:14:00Z</cp:lastPrinted>
  <dcterms:created xsi:type="dcterms:W3CDTF">2016-10-26T23:12:00Z</dcterms:created>
  <dcterms:modified xsi:type="dcterms:W3CDTF">2016-11-24T20:09:00Z</dcterms:modified>
</cp:coreProperties>
</file>